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62"/>
        <w:gridCol w:w="6883"/>
        <w:gridCol w:w="662"/>
        <w:gridCol w:w="532"/>
        <w:gridCol w:w="1699"/>
      </w:tblGrid>
      <w:tr w:rsidR="007B1353" w:rsidRPr="00535017" w:rsidTr="00A000B3"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883" w:type="dxa"/>
            <w:tcBorders>
              <w:top w:val="single" w:sz="7" w:space="0" w:color="000000"/>
              <w:left w:val="nil"/>
              <w:bottom w:val="single" w:sz="6" w:space="0" w:color="FFFFFF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Merge w:val="restart"/>
            <w:tcBorders>
              <w:top w:val="single" w:sz="6" w:space="0" w:color="FFFFFF"/>
              <w:left w:val="single" w:sz="8" w:space="0" w:color="000000"/>
              <w:bottom w:val="nil"/>
              <w:right w:val="single" w:sz="6" w:space="0" w:color="FFFFFF"/>
            </w:tcBorders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pct20" w:color="000000" w:fill="FFFFFF"/>
            <w:vAlign w:val="center"/>
          </w:tcPr>
          <w:p w:rsidR="007B1353" w:rsidRPr="009079C2" w:rsidRDefault="007B1353" w:rsidP="009079C2">
            <w:pPr>
              <w:pStyle w:val="NoSpacing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7B1353" w:rsidRPr="00535017" w:rsidTr="00A000B3">
        <w:tc>
          <w:tcPr>
            <w:tcW w:w="662" w:type="dxa"/>
            <w:tcBorders>
              <w:left w:val="single" w:sz="7" w:space="0" w:color="000000"/>
              <w:right w:val="single" w:sz="6" w:space="0" w:color="FFFFFF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88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B1353" w:rsidRPr="00DD0A28" w:rsidRDefault="00700309" w:rsidP="00DD0A2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CASH FLOW BORROWING</w:t>
            </w:r>
          </w:p>
        </w:tc>
        <w:tc>
          <w:tcPr>
            <w:tcW w:w="662" w:type="dxa"/>
            <w:tcBorders>
              <w:left w:val="single" w:sz="7" w:space="0" w:color="000000"/>
              <w:right w:val="single" w:sz="6" w:space="0" w:color="FFFFFF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7" w:space="0" w:color="000000"/>
              <w:bottom w:val="nil"/>
              <w:right w:val="single" w:sz="6" w:space="0" w:color="FFFFFF"/>
            </w:tcBorders>
          </w:tcPr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pct20" w:color="000000" w:fill="FFFFFF"/>
          </w:tcPr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</w:tr>
      <w:tr w:rsidR="007B1353" w:rsidRPr="00535017" w:rsidTr="00A000B3"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  <w:tc>
          <w:tcPr>
            <w:tcW w:w="6883" w:type="dxa"/>
            <w:tcBorders>
              <w:top w:val="single" w:sz="7" w:space="0" w:color="000000"/>
              <w:left w:val="nil"/>
              <w:bottom w:val="single" w:sz="7" w:space="0" w:color="000000"/>
            </w:tcBorders>
            <w:shd w:val="pct20" w:color="000000" w:fill="FFFFFF"/>
            <w:vAlign w:val="center"/>
          </w:tcPr>
          <w:p w:rsidR="007B1353" w:rsidRPr="00535017" w:rsidRDefault="007B1353" w:rsidP="00DD0A28">
            <w:pPr>
              <w:spacing w:line="163" w:lineRule="exact"/>
              <w:jc w:val="center"/>
              <w:rPr>
                <w:rFonts w:asciiTheme="minorHAnsi" w:hAnsiTheme="minorHAnsi" w:cstheme="minorHAnsi"/>
              </w:rPr>
            </w:pPr>
          </w:p>
          <w:p w:rsidR="007B1353" w:rsidRPr="00535017" w:rsidRDefault="007B1353" w:rsidP="00DD0A28">
            <w:pPr>
              <w:widowControl/>
              <w:spacing w:after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</w:tr>
    </w:tbl>
    <w:p w:rsidR="007B1353" w:rsidRPr="00535017" w:rsidRDefault="00C15B29" w:rsidP="00C15B29">
      <w:pPr>
        <w:widowControl/>
        <w:tabs>
          <w:tab w:val="right" w:pos="10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5D77" w:rsidRPr="00BF5D7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BF5D77">
        <w:rPr>
          <w:rFonts w:asciiTheme="minorHAnsi" w:hAnsiTheme="minorHAnsi" w:cstheme="minorHAnsi"/>
          <w:b/>
          <w:bCs/>
        </w:rPr>
        <w:t xml:space="preserve">HITEHALL </w:t>
      </w:r>
      <w:r w:rsidR="00BF5D77" w:rsidRPr="00BF5D77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BF5D77">
        <w:rPr>
          <w:rFonts w:asciiTheme="minorHAnsi" w:hAnsiTheme="minorHAnsi" w:cstheme="minorHAnsi"/>
          <w:b/>
          <w:bCs/>
        </w:rPr>
        <w:t>ISTRICT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S</w:t>
      </w:r>
      <w:r w:rsidR="007B1353" w:rsidRPr="00DD0A28">
        <w:rPr>
          <w:rFonts w:asciiTheme="minorHAnsi" w:hAnsiTheme="minorHAnsi" w:cstheme="minorHAnsi"/>
          <w:b/>
          <w:bCs/>
        </w:rPr>
        <w:t>CHOOLS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B</w:t>
      </w:r>
      <w:r w:rsidR="007B1353" w:rsidRPr="00DD0A28">
        <w:rPr>
          <w:rFonts w:asciiTheme="minorHAnsi" w:hAnsiTheme="minorHAnsi" w:cstheme="minorHAnsi"/>
          <w:b/>
          <w:bCs/>
        </w:rPr>
        <w:t>OARD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B1353" w:rsidRPr="00DD0A28">
        <w:rPr>
          <w:rFonts w:asciiTheme="minorHAnsi" w:hAnsiTheme="minorHAnsi" w:cstheme="minorHAnsi"/>
          <w:b/>
          <w:bCs/>
        </w:rPr>
        <w:t>OF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DD0A28" w:rsidRPr="00DD0A28">
        <w:rPr>
          <w:rFonts w:asciiTheme="minorHAnsi" w:hAnsiTheme="minorHAnsi" w:cstheme="minorHAnsi"/>
          <w:b/>
          <w:bCs/>
        </w:rPr>
        <w:t>DUCATION</w:t>
      </w:r>
      <w:r w:rsidR="00DD0A2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730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A511F">
        <w:rPr>
          <w:rFonts w:asciiTheme="minorHAnsi" w:hAnsiTheme="minorHAnsi" w:cstheme="minorHAnsi"/>
          <w:b/>
          <w:bCs/>
          <w:sz w:val="28"/>
          <w:szCs w:val="28"/>
        </w:rPr>
        <w:t>June 18</w:t>
      </w:r>
      <w:r w:rsidR="00CD13CF">
        <w:rPr>
          <w:rFonts w:asciiTheme="minorHAnsi" w:hAnsiTheme="minorHAnsi" w:cstheme="minorHAnsi"/>
          <w:b/>
          <w:bCs/>
          <w:sz w:val="28"/>
          <w:szCs w:val="28"/>
        </w:rPr>
        <w:t>, 201</w:t>
      </w:r>
      <w:r w:rsidR="001A511F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tbl>
      <w:tblPr>
        <w:tblW w:w="0" w:type="auto"/>
        <w:tblInd w:w="130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440"/>
      </w:tblGrid>
      <w:tr w:rsidR="007B1353" w:rsidRPr="00535017">
        <w:tc>
          <w:tcPr>
            <w:tcW w:w="10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700309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will need to borrow money for cash flow purposes again this year.  We are not a deficit district and have a balanced budget.  However, our cash flow coming into the district does not match the cash flow going out.  We do not collect summer taxes which is a significant part of the budget.  In addition, the State pays once per month but not in September.  </w:t>
            </w:r>
            <w:r w:rsidR="006C2A17">
              <w:rPr>
                <w:rFonts w:asciiTheme="minorHAnsi" w:hAnsiTheme="minorHAnsi" w:cstheme="minorHAnsi"/>
              </w:rPr>
              <w:t xml:space="preserve">Our payrolls are twice per month.  </w:t>
            </w:r>
            <w:r>
              <w:rPr>
                <w:rFonts w:asciiTheme="minorHAnsi" w:hAnsiTheme="minorHAnsi" w:cstheme="minorHAnsi"/>
              </w:rPr>
              <w:t>This mismatch causes many districts to borrow for certain periods of the year.</w:t>
            </w:r>
          </w:p>
          <w:p w:rsidR="00700309" w:rsidRDefault="0070030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F348B4" w:rsidRDefault="00F348B4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borrowing history is below.  While our fund balance has improved, our need for borrowing has been significantly less.  I believe this is due to more regular and timely requests for grant funds.  We have also billed other districts for services (alternative education) more regularly.</w:t>
            </w:r>
          </w:p>
          <w:p w:rsidR="00F348B4" w:rsidRDefault="00F348B4" w:rsidP="00C15B29">
            <w:pPr>
              <w:widowControl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Ind w:w="2237" w:type="dxa"/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1762"/>
            </w:tblGrid>
            <w:tr w:rsidR="00F348B4" w:rsidTr="00F348B4">
              <w:tc>
                <w:tcPr>
                  <w:tcW w:w="2828" w:type="dxa"/>
                </w:tcPr>
                <w:p w:rsidR="00F348B4" w:rsidRDefault="00F348B4" w:rsidP="00F348B4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2013-14</w:t>
                  </w:r>
                </w:p>
              </w:tc>
              <w:tc>
                <w:tcPr>
                  <w:tcW w:w="1762" w:type="dxa"/>
                </w:tcPr>
                <w:p w:rsidR="00F348B4" w:rsidRDefault="00F348B4" w:rsidP="00F348B4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$4.25 million</w:t>
                  </w:r>
                </w:p>
              </w:tc>
            </w:tr>
            <w:tr w:rsidR="00F348B4" w:rsidTr="00F348B4">
              <w:tc>
                <w:tcPr>
                  <w:tcW w:w="2828" w:type="dxa"/>
                </w:tcPr>
                <w:p w:rsidR="00F348B4" w:rsidRDefault="00F348B4" w:rsidP="00F348B4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2014-15</w:t>
                  </w:r>
                </w:p>
              </w:tc>
              <w:tc>
                <w:tcPr>
                  <w:tcW w:w="1762" w:type="dxa"/>
                </w:tcPr>
                <w:p w:rsidR="00F348B4" w:rsidRDefault="00F348B4" w:rsidP="00F348B4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$3.75 million</w:t>
                  </w:r>
                </w:p>
              </w:tc>
            </w:tr>
            <w:tr w:rsidR="00F348B4" w:rsidTr="00F348B4">
              <w:tc>
                <w:tcPr>
                  <w:tcW w:w="2828" w:type="dxa"/>
                </w:tcPr>
                <w:p w:rsidR="00F348B4" w:rsidRDefault="00F348B4" w:rsidP="00F348B4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2015-16</w:t>
                  </w:r>
                </w:p>
              </w:tc>
              <w:tc>
                <w:tcPr>
                  <w:tcW w:w="1762" w:type="dxa"/>
                </w:tcPr>
                <w:p w:rsidR="00F348B4" w:rsidRDefault="00F348B4" w:rsidP="00F348B4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$3.25 million</w:t>
                  </w:r>
                </w:p>
              </w:tc>
            </w:tr>
            <w:tr w:rsidR="00F348B4" w:rsidTr="00F348B4">
              <w:tc>
                <w:tcPr>
                  <w:tcW w:w="2828" w:type="dxa"/>
                </w:tcPr>
                <w:p w:rsidR="00F348B4" w:rsidRDefault="00DC780E" w:rsidP="00F348B4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2016-17</w:t>
                  </w:r>
                </w:p>
              </w:tc>
              <w:tc>
                <w:tcPr>
                  <w:tcW w:w="1762" w:type="dxa"/>
                </w:tcPr>
                <w:p w:rsidR="00F348B4" w:rsidRDefault="00F348B4" w:rsidP="00F348B4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$2.75 million</w:t>
                  </w:r>
                </w:p>
              </w:tc>
            </w:tr>
            <w:tr w:rsidR="00DC780E" w:rsidTr="00F348B4">
              <w:tc>
                <w:tcPr>
                  <w:tcW w:w="2828" w:type="dxa"/>
                </w:tcPr>
                <w:p w:rsidR="00DC780E" w:rsidRDefault="00DC780E" w:rsidP="00F348B4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2017-18</w:t>
                  </w:r>
                </w:p>
              </w:tc>
              <w:tc>
                <w:tcPr>
                  <w:tcW w:w="1762" w:type="dxa"/>
                </w:tcPr>
                <w:p w:rsidR="00DC780E" w:rsidRDefault="00DC780E" w:rsidP="00F348B4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$2.50 million</w:t>
                  </w:r>
                </w:p>
              </w:tc>
            </w:tr>
            <w:tr w:rsidR="000C0C33" w:rsidTr="00F348B4">
              <w:tc>
                <w:tcPr>
                  <w:tcW w:w="2828" w:type="dxa"/>
                </w:tcPr>
                <w:p w:rsidR="000C0C33" w:rsidRDefault="000C0C33" w:rsidP="00F348B4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2018-19</w:t>
                  </w:r>
                </w:p>
              </w:tc>
              <w:tc>
                <w:tcPr>
                  <w:tcW w:w="1762" w:type="dxa"/>
                </w:tcPr>
                <w:p w:rsidR="000C0C33" w:rsidRDefault="000C0C33" w:rsidP="00F348B4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$2.00 million</w:t>
                  </w:r>
                </w:p>
              </w:tc>
            </w:tr>
          </w:tbl>
          <w:p w:rsidR="00F348B4" w:rsidRDefault="00F348B4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700309" w:rsidRDefault="00DC780E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 </w:t>
            </w:r>
            <w:r w:rsidR="004F1C52">
              <w:rPr>
                <w:rFonts w:asciiTheme="minorHAnsi" w:hAnsiTheme="minorHAnsi" w:cstheme="minorHAnsi"/>
              </w:rPr>
              <w:t xml:space="preserve">first </w:t>
            </w:r>
            <w:r w:rsidR="006C2A17">
              <w:rPr>
                <w:rFonts w:asciiTheme="minorHAnsi" w:hAnsiTheme="minorHAnsi" w:cstheme="minorHAnsi"/>
              </w:rPr>
              <w:t>projection show</w:t>
            </w:r>
            <w:r w:rsidR="004F1C52">
              <w:rPr>
                <w:rFonts w:asciiTheme="minorHAnsi" w:hAnsiTheme="minorHAnsi" w:cstheme="minorHAnsi"/>
              </w:rPr>
              <w:t>ed a need of $2.30</w:t>
            </w:r>
            <w:r w:rsidR="00700309">
              <w:rPr>
                <w:rFonts w:asciiTheme="minorHAnsi" w:hAnsiTheme="minorHAnsi" w:cstheme="minorHAnsi"/>
              </w:rPr>
              <w:t xml:space="preserve"> million.  </w:t>
            </w:r>
            <w:r>
              <w:rPr>
                <w:rFonts w:asciiTheme="minorHAnsi" w:hAnsiTheme="minorHAnsi" w:cstheme="minorHAnsi"/>
              </w:rPr>
              <w:t xml:space="preserve">In the past couple years, we have not used about $500,000 of the borrowed funds.  </w:t>
            </w:r>
            <w:r w:rsidR="00700309">
              <w:rPr>
                <w:rFonts w:asciiTheme="minorHAnsi" w:hAnsiTheme="minorHAnsi" w:cstheme="minorHAnsi"/>
              </w:rPr>
              <w:t>I plan to update it over the next several weeks to monitor the need level.</w:t>
            </w:r>
          </w:p>
          <w:p w:rsidR="00700309" w:rsidRDefault="00700309" w:rsidP="00C15B29">
            <w:pPr>
              <w:widowControl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700309" w:rsidRDefault="00700309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resolution authorizes us to </w:t>
            </w:r>
            <w:r w:rsidR="004F1C52">
              <w:rPr>
                <w:rFonts w:asciiTheme="minorHAnsi" w:hAnsiTheme="minorHAnsi" w:cstheme="minorHAnsi"/>
              </w:rPr>
              <w:t>seek a maximum of $2.</w:t>
            </w:r>
            <w:r w:rsidR="000C0C33">
              <w:rPr>
                <w:rFonts w:asciiTheme="minorHAnsi" w:hAnsiTheme="minorHAnsi" w:cstheme="minorHAnsi"/>
              </w:rPr>
              <w:t>0</w:t>
            </w:r>
            <w:r w:rsidR="004F1C52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million.  I plan to contact the same banks as last year, including local banks.  We will need to h</w:t>
            </w:r>
            <w:r w:rsidR="00DC780E">
              <w:rPr>
                <w:rFonts w:asciiTheme="minorHAnsi" w:hAnsiTheme="minorHAnsi" w:cstheme="minorHAnsi"/>
              </w:rPr>
              <w:t>ave a loan in place by August 21</w:t>
            </w:r>
            <w:r w:rsidR="00F348B4">
              <w:rPr>
                <w:rFonts w:asciiTheme="minorHAnsi" w:hAnsiTheme="minorHAnsi" w:cstheme="minorHAnsi"/>
              </w:rPr>
              <w:t xml:space="preserve"> when the current loan is due.  After receiving the bids, we’ll need to pass a resolution to authorize the loan.</w:t>
            </w: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D42E0D" w:rsidRDefault="00D42E0D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7213E8" w:rsidRDefault="007213E8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6C2A17" w:rsidRDefault="006C2A17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Recommended Motion:</w:t>
            </w: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987DCE" w:rsidRDefault="00C15B29" w:rsidP="001C09B4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. . . to adopt as presented the resolution </w:t>
            </w:r>
            <w:r w:rsidR="007213E8">
              <w:rPr>
                <w:rFonts w:asciiTheme="minorHAnsi" w:hAnsiTheme="minorHAnsi" w:cstheme="minorHAnsi"/>
              </w:rPr>
              <w:t>authorizing the issuance of State Aid Notes for cash flow purposes i</w:t>
            </w:r>
            <w:r w:rsidR="00DC780E">
              <w:rPr>
                <w:rFonts w:asciiTheme="minorHAnsi" w:hAnsiTheme="minorHAnsi" w:cstheme="minorHAnsi"/>
              </w:rPr>
              <w:t>n amount not to exceed $2.</w:t>
            </w:r>
            <w:r w:rsidR="000C0C33">
              <w:rPr>
                <w:rFonts w:asciiTheme="minorHAnsi" w:hAnsiTheme="minorHAnsi" w:cstheme="minorHAnsi"/>
              </w:rPr>
              <w:t>0</w:t>
            </w:r>
            <w:r w:rsidR="00DC780E">
              <w:rPr>
                <w:rFonts w:asciiTheme="minorHAnsi" w:hAnsiTheme="minorHAnsi" w:cstheme="minorHAnsi"/>
              </w:rPr>
              <w:t>0</w:t>
            </w:r>
            <w:r w:rsidR="007213E8">
              <w:rPr>
                <w:rFonts w:asciiTheme="minorHAnsi" w:hAnsiTheme="minorHAnsi" w:cstheme="minorHAnsi"/>
              </w:rPr>
              <w:t xml:space="preserve"> million</w:t>
            </w:r>
          </w:p>
          <w:p w:rsidR="00987DCE" w:rsidRDefault="00987DCE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7213E8" w:rsidRDefault="007213E8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7213E8" w:rsidRDefault="007213E8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7213E8" w:rsidRDefault="007213E8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D42E0D" w:rsidRDefault="00D42E0D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541C84" w:rsidRDefault="00541C84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1C09B4" w:rsidRPr="00535017" w:rsidRDefault="001C09B4" w:rsidP="00401BAA">
            <w:pPr>
              <w:widowControl/>
              <w:rPr>
                <w:rFonts w:asciiTheme="minorHAnsi" w:hAnsiTheme="minorHAnsi" w:cstheme="minorHAnsi"/>
              </w:rPr>
            </w:pPr>
          </w:p>
        </w:tc>
      </w:tr>
    </w:tbl>
    <w:p w:rsidR="007B1353" w:rsidRPr="00535017" w:rsidRDefault="007B1353" w:rsidP="00FC386B">
      <w:pPr>
        <w:widowControl/>
        <w:rPr>
          <w:rFonts w:asciiTheme="minorHAnsi" w:hAnsiTheme="minorHAnsi" w:cstheme="minorHAnsi"/>
        </w:rPr>
      </w:pPr>
    </w:p>
    <w:sectPr w:rsidR="007B1353" w:rsidRPr="00535017" w:rsidSect="007B1353">
      <w:pgSz w:w="12240" w:h="15840"/>
      <w:pgMar w:top="720" w:right="72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9E7"/>
    <w:multiLevelType w:val="hybridMultilevel"/>
    <w:tmpl w:val="F52E92A0"/>
    <w:lvl w:ilvl="0" w:tplc="6DD641E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C5664"/>
    <w:multiLevelType w:val="hybridMultilevel"/>
    <w:tmpl w:val="1D746878"/>
    <w:lvl w:ilvl="0" w:tplc="1BC48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0341B"/>
    <w:multiLevelType w:val="hybridMultilevel"/>
    <w:tmpl w:val="1436CDEE"/>
    <w:lvl w:ilvl="0" w:tplc="EB560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53"/>
    <w:rsid w:val="000C0C33"/>
    <w:rsid w:val="000C4B02"/>
    <w:rsid w:val="000D1A4B"/>
    <w:rsid w:val="001A255C"/>
    <w:rsid w:val="001A511F"/>
    <w:rsid w:val="001C09B4"/>
    <w:rsid w:val="00284458"/>
    <w:rsid w:val="002D002C"/>
    <w:rsid w:val="002F608C"/>
    <w:rsid w:val="003366F5"/>
    <w:rsid w:val="00373006"/>
    <w:rsid w:val="003D302A"/>
    <w:rsid w:val="00401BAA"/>
    <w:rsid w:val="004C1537"/>
    <w:rsid w:val="004F00E4"/>
    <w:rsid w:val="004F1C52"/>
    <w:rsid w:val="00522A0F"/>
    <w:rsid w:val="00535017"/>
    <w:rsid w:val="00541C84"/>
    <w:rsid w:val="005E77FB"/>
    <w:rsid w:val="006C2A17"/>
    <w:rsid w:val="00700309"/>
    <w:rsid w:val="007213E8"/>
    <w:rsid w:val="00735659"/>
    <w:rsid w:val="00751258"/>
    <w:rsid w:val="00766827"/>
    <w:rsid w:val="007904C5"/>
    <w:rsid w:val="00797813"/>
    <w:rsid w:val="007B1353"/>
    <w:rsid w:val="0081110E"/>
    <w:rsid w:val="0088226B"/>
    <w:rsid w:val="008B3A6D"/>
    <w:rsid w:val="008E3B16"/>
    <w:rsid w:val="009079C2"/>
    <w:rsid w:val="009261A1"/>
    <w:rsid w:val="00987DCE"/>
    <w:rsid w:val="009D39CC"/>
    <w:rsid w:val="00A000B3"/>
    <w:rsid w:val="00B04C65"/>
    <w:rsid w:val="00B17FD0"/>
    <w:rsid w:val="00B5144A"/>
    <w:rsid w:val="00B76246"/>
    <w:rsid w:val="00BD15A2"/>
    <w:rsid w:val="00BF5D77"/>
    <w:rsid w:val="00C15B29"/>
    <w:rsid w:val="00C269BC"/>
    <w:rsid w:val="00C32D6D"/>
    <w:rsid w:val="00CC3FED"/>
    <w:rsid w:val="00CD13CF"/>
    <w:rsid w:val="00D42E0D"/>
    <w:rsid w:val="00D91926"/>
    <w:rsid w:val="00DC780E"/>
    <w:rsid w:val="00DD0A28"/>
    <w:rsid w:val="00DF0991"/>
    <w:rsid w:val="00E6402A"/>
    <w:rsid w:val="00E8255F"/>
    <w:rsid w:val="00EA647D"/>
    <w:rsid w:val="00EC07D4"/>
    <w:rsid w:val="00EE34FE"/>
    <w:rsid w:val="00F2047D"/>
    <w:rsid w:val="00F348B4"/>
    <w:rsid w:val="00FA24D8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8F6448-7E64-4A81-B4B4-7DA7F54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Spacing">
    <w:name w:val="No Spacing"/>
    <w:uiPriority w:val="1"/>
    <w:qFormat/>
    <w:rsid w:val="00DD0A28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table" w:styleId="TableGrid">
    <w:name w:val="Table Grid"/>
    <w:basedOn w:val="TableNormal"/>
    <w:uiPriority w:val="59"/>
    <w:rsid w:val="00D9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261A1"/>
    <w:pPr>
      <w:widowControl/>
      <w:autoSpaceDE/>
      <w:autoSpaceDN/>
      <w:adjustRightInd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11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Aardema</dc:creator>
  <cp:lastModifiedBy>Steve Aardema</cp:lastModifiedBy>
  <cp:revision>2</cp:revision>
  <cp:lastPrinted>2015-06-09T19:18:00Z</cp:lastPrinted>
  <dcterms:created xsi:type="dcterms:W3CDTF">2018-04-16T12:32:00Z</dcterms:created>
  <dcterms:modified xsi:type="dcterms:W3CDTF">2018-04-16T12:32:00Z</dcterms:modified>
</cp:coreProperties>
</file>